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87EDC"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35B9E69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777404C6">
      <w:pPr>
        <w:pStyle w:val="2"/>
        <w:rPr>
          <w:rFonts w:hint="default" w:ascii="Times New Roman" w:hAnsi="Times New Roman" w:cs="Times New Roman"/>
          <w:color w:val="auto"/>
        </w:rPr>
      </w:pPr>
    </w:p>
    <w:p w14:paraId="1DD9DA63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广汉市弘源建设发展有限公司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4C5633D2">
      <w:pPr>
        <w:spacing w:line="440" w:lineRule="exact"/>
        <w:ind w:firstLine="560" w:firstLineChars="200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破碎路面废料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处置竞价服务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 w14:paraId="7935F15F">
      <w:pPr>
        <w:pStyle w:val="2"/>
        <w:rPr>
          <w:rFonts w:hint="eastAsia"/>
          <w:lang w:eastAsia="zh-CN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422"/>
        <w:gridCol w:w="2177"/>
        <w:gridCol w:w="1962"/>
      </w:tblGrid>
      <w:tr w14:paraId="41E5F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pct"/>
            <w:noWrap w:val="0"/>
            <w:vAlign w:val="center"/>
          </w:tcPr>
          <w:p w14:paraId="624C3EF4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08" w:type="pct"/>
            <w:noWrap w:val="0"/>
            <w:vAlign w:val="center"/>
          </w:tcPr>
          <w:p w14:paraId="085D7557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成交额（万元）</w:t>
            </w:r>
          </w:p>
        </w:tc>
        <w:tc>
          <w:tcPr>
            <w:tcW w:w="1277" w:type="pct"/>
            <w:noWrap w:val="0"/>
            <w:vAlign w:val="center"/>
          </w:tcPr>
          <w:p w14:paraId="35939521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差额定率累进收费标准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 w14:paraId="1A90F755"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费用承担对象</w:t>
            </w:r>
          </w:p>
        </w:tc>
      </w:tr>
      <w:tr w14:paraId="2937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62" w:type="pct"/>
            <w:noWrap w:val="0"/>
            <w:vAlign w:val="center"/>
          </w:tcPr>
          <w:p w14:paraId="0CE6DDE6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8" w:type="pct"/>
            <w:noWrap w:val="0"/>
            <w:vAlign w:val="center"/>
          </w:tcPr>
          <w:p w14:paraId="0D30FEDE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2244DD68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51" w:type="pct"/>
            <w:vMerge w:val="restart"/>
            <w:noWrap w:val="0"/>
            <w:vAlign w:val="center"/>
          </w:tcPr>
          <w:p w14:paraId="613C0002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□委托方</w:t>
            </w:r>
          </w:p>
          <w:p w14:paraId="0E0831B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7D93AC56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☑竞得人</w:t>
            </w:r>
          </w:p>
          <w:p w14:paraId="41573201">
            <w:pPr>
              <w:pStyle w:val="2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408ADEA1">
            <w:pPr>
              <w:pStyle w:val="6"/>
              <w:jc w:val="center"/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□委托方</w:t>
            </w:r>
          </w:p>
          <w:p w14:paraId="30383457"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和竞得人</w:t>
            </w:r>
          </w:p>
        </w:tc>
      </w:tr>
      <w:tr w14:paraId="56E37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 w14:paraId="09D9A483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8" w:type="pct"/>
            <w:noWrap w:val="0"/>
            <w:vAlign w:val="center"/>
          </w:tcPr>
          <w:p w14:paraId="654A16E4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100万元（不含）以上~500万元（含）以下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4F12A4C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7787A5B5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7F77D8BB"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57CB6CB2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采用上述差额定率累进收费标准收取拍卖佣金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竞价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、编制、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公证费、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会务费、人工费、材料费、交通费、差旅费、税费、利润、保险费等为完成本项目约定服务的所有费用，以及后续服务费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 w14:paraId="4B5842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F0AFFC7">
      <w:pPr>
        <w:adjustRightInd w:val="0"/>
        <w:spacing w:line="480" w:lineRule="auto"/>
        <w:ind w:firstLine="3816" w:firstLineChars="1590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4D7C6664">
      <w:pPr>
        <w:ind w:firstLine="3840" w:firstLineChars="1600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 w14:paraId="6392C9FA">
      <w:pPr>
        <w:bidi w:val="0"/>
        <w:ind w:firstLine="3150" w:firstLineChars="1500"/>
        <w:jc w:val="left"/>
      </w:pPr>
    </w:p>
    <w:p w14:paraId="779AAAD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7791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1B06AB8"/>
    <w:rsid w:val="22CB4882"/>
    <w:rsid w:val="2EDA7F57"/>
    <w:rsid w:val="31146559"/>
    <w:rsid w:val="31B46112"/>
    <w:rsid w:val="34193C9E"/>
    <w:rsid w:val="37F17BF7"/>
    <w:rsid w:val="3DCC5129"/>
    <w:rsid w:val="409D42AD"/>
    <w:rsid w:val="583D5D3E"/>
    <w:rsid w:val="64FA119C"/>
    <w:rsid w:val="672A1D24"/>
    <w:rsid w:val="68BF1C1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Quote"/>
    <w:basedOn w:val="1"/>
    <w:next w:val="1"/>
    <w:autoRedefine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307</Characters>
  <Lines>0</Lines>
  <Paragraphs>0</Paragraphs>
  <TotalTime>0</TotalTime>
  <ScaleCrop>false</ScaleCrop>
  <LinksUpToDate>false</LinksUpToDate>
  <CharactersWithSpaces>350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cp:lastPrinted>2025-02-06T09:22:00Z</cp:lastPrinted>
  <dcterms:modified xsi:type="dcterms:W3CDTF">2025-04-03T09:23:21Z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C8618526382D4E88A2ED6F0ABFEDF03F_13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