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066A8">
      <w:pPr>
        <w:pStyle w:val="2"/>
        <w:jc w:val="center"/>
        <w:rPr>
          <w:rFonts w:hint="eastAsia" w:ascii="宋体" w:hAnsi="宋体" w:cs="宋体"/>
          <w:color w:val="auto"/>
          <w:sz w:val="36"/>
          <w:szCs w:val="36"/>
          <w:highlight w:val="none"/>
        </w:rPr>
      </w:pPr>
      <w:bookmarkStart w:id="0" w:name="_Hlt101846155"/>
      <w:bookmarkEnd w:id="0"/>
      <w:r>
        <w:rPr>
          <w:rFonts w:hint="eastAsia" w:ascii="宋体" w:hAnsi="宋体" w:cs="宋体"/>
          <w:color w:val="auto"/>
          <w:sz w:val="36"/>
          <w:szCs w:val="36"/>
          <w:highlight w:val="none"/>
        </w:rPr>
        <w:t>施工图设计文件审查咨询合同</w:t>
      </w:r>
    </w:p>
    <w:p w14:paraId="0AE97AEE">
      <w:pPr>
        <w:rPr>
          <w:rFonts w:hint="eastAsia"/>
          <w:color w:val="auto"/>
          <w:highlight w:val="none"/>
        </w:rPr>
      </w:pPr>
    </w:p>
    <w:p w14:paraId="16D184D3">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14:paraId="3FD9CE8C">
      <w:pPr>
        <w:spacing w:line="480" w:lineRule="auto"/>
        <w:rPr>
          <w:rFonts w:hint="eastAsia" w:ascii="黑体" w:eastAsia="黑体"/>
          <w:b/>
          <w:color w:val="auto"/>
          <w:sz w:val="24"/>
          <w:highlight w:val="none"/>
        </w:rPr>
      </w:pPr>
    </w:p>
    <w:p w14:paraId="7190BF0C">
      <w:pPr>
        <w:rPr>
          <w:rFonts w:hint="eastAsia" w:ascii="黑体" w:eastAsia="黑体"/>
          <w:b/>
          <w:color w:val="auto"/>
          <w:sz w:val="24"/>
          <w:highlight w:val="none"/>
        </w:rPr>
      </w:pPr>
    </w:p>
    <w:p w14:paraId="17C0FEC3">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w:t>
      </w:r>
    </w:p>
    <w:p w14:paraId="38EC98F1">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建设地点：</w:t>
      </w:r>
    </w:p>
    <w:p w14:paraId="5D021E9E">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14:paraId="43ECB3AC">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14:paraId="1A75F1F7">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14:paraId="3F9AB5D7">
      <w:pPr>
        <w:spacing w:line="780" w:lineRule="auto"/>
        <w:rPr>
          <w:rFonts w:hint="eastAsia" w:ascii="黑体" w:eastAsia="黑体"/>
          <w:b/>
          <w:color w:val="auto"/>
          <w:sz w:val="24"/>
          <w:highlight w:val="none"/>
          <w:u w:val="single"/>
        </w:rPr>
      </w:pPr>
    </w:p>
    <w:p w14:paraId="6072A183">
      <w:pPr>
        <w:spacing w:line="780" w:lineRule="auto"/>
        <w:rPr>
          <w:rFonts w:hint="eastAsia" w:ascii="黑体" w:eastAsia="黑体"/>
          <w:b/>
          <w:color w:val="auto"/>
          <w:sz w:val="24"/>
          <w:highlight w:val="none"/>
          <w:u w:val="single"/>
        </w:rPr>
      </w:pPr>
    </w:p>
    <w:p w14:paraId="22107CE0">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14:paraId="293C3DA9">
      <w:pPr>
        <w:spacing w:line="780" w:lineRule="auto"/>
        <w:jc w:val="center"/>
        <w:rPr>
          <w:rFonts w:hint="eastAsia" w:ascii="宋体" w:hAnsi="宋体"/>
          <w:color w:val="auto"/>
          <w:sz w:val="24"/>
          <w:highlight w:val="none"/>
        </w:rPr>
      </w:pPr>
    </w:p>
    <w:p w14:paraId="17764327">
      <w:pPr>
        <w:pStyle w:val="4"/>
        <w:rPr>
          <w:rFonts w:hint="eastAsia"/>
          <w:color w:val="auto"/>
          <w:highlight w:val="none"/>
        </w:rPr>
      </w:pPr>
    </w:p>
    <w:p w14:paraId="332D8329">
      <w:pPr>
        <w:rPr>
          <w:color w:val="auto"/>
          <w:highlight w:val="none"/>
        </w:rPr>
      </w:pPr>
    </w:p>
    <w:p w14:paraId="112F10AB">
      <w:pPr>
        <w:pStyle w:val="4"/>
        <w:jc w:val="center"/>
        <w:rPr>
          <w:rFonts w:hint="eastAsia" w:ascii="宋体" w:hAnsi="宋体"/>
          <w:b/>
          <w:bCs/>
          <w:color w:val="auto"/>
          <w:sz w:val="36"/>
          <w:szCs w:val="36"/>
          <w:highlight w:val="none"/>
        </w:rPr>
      </w:pPr>
    </w:p>
    <w:p w14:paraId="60D32E8E">
      <w:pPr>
        <w:pStyle w:val="4"/>
        <w:jc w:val="center"/>
        <w:rPr>
          <w:rFonts w:hint="eastAsia" w:ascii="宋体" w:hAnsi="宋体"/>
          <w:b/>
          <w:bCs/>
          <w:color w:val="auto"/>
          <w:sz w:val="36"/>
          <w:szCs w:val="36"/>
          <w:highlight w:val="none"/>
        </w:rPr>
      </w:pPr>
    </w:p>
    <w:p w14:paraId="54448FE1">
      <w:pPr>
        <w:pStyle w:val="4"/>
        <w:spacing w:after="0" w:line="360" w:lineRule="auto"/>
        <w:jc w:val="center"/>
        <w:rPr>
          <w:rFonts w:hint="eastAsia"/>
          <w:b/>
          <w:bCs/>
          <w:color w:val="auto"/>
          <w:sz w:val="36"/>
          <w:szCs w:val="36"/>
          <w:highlight w:val="none"/>
        </w:rPr>
      </w:pPr>
      <w:r>
        <w:rPr>
          <w:rFonts w:hint="eastAsia" w:ascii="宋体" w:hAnsi="宋体"/>
          <w:b/>
          <w:bCs/>
          <w:color w:val="auto"/>
          <w:sz w:val="36"/>
          <w:szCs w:val="36"/>
          <w:highlight w:val="none"/>
        </w:rPr>
        <w:t>合同协议书</w:t>
      </w:r>
    </w:p>
    <w:p w14:paraId="3F9B0C93">
      <w:pPr>
        <w:spacing w:line="360" w:lineRule="auto"/>
        <w:rPr>
          <w:rFonts w:hint="eastAsia" w:ascii="宋体" w:hAnsi="宋体"/>
          <w:b/>
          <w:color w:val="auto"/>
          <w:spacing w:val="2"/>
          <w:w w:val="99"/>
          <w:kern w:val="0"/>
          <w:sz w:val="24"/>
          <w:highlight w:val="none"/>
          <w:u w:val="single"/>
        </w:rPr>
      </w:pPr>
      <w:r>
        <w:rPr>
          <w:rFonts w:hint="eastAsia" w:ascii="宋体" w:hAnsi="宋体"/>
          <w:color w:val="auto"/>
          <w:sz w:val="24"/>
          <w:highlight w:val="none"/>
        </w:rPr>
        <w:t>委托方：               （以下简称甲方）</w:t>
      </w:r>
    </w:p>
    <w:p w14:paraId="67DB5097">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p>
    <w:p w14:paraId="3ED4D5EF">
      <w:pPr>
        <w:spacing w:line="360" w:lineRule="auto"/>
        <w:ind w:firstLine="720" w:firstLineChars="300"/>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w:t>
      </w:r>
      <w:r>
        <w:rPr>
          <w:rFonts w:hint="eastAsia" w:ascii="宋体" w:hAnsi="宋体" w:cs="Times New Roman"/>
          <w:color w:val="auto"/>
          <w:sz w:val="24"/>
          <w:highlight w:val="none"/>
          <w:lang w:val="en-US" w:eastAsia="zh-CN"/>
        </w:rPr>
        <w:t>德阳高新区汽车产业园配套提升基础设施建设项目-游学路东段、滨湖路“打捆”施工图审查服务（第二次）工作</w:t>
      </w:r>
      <w:bookmarkStart w:id="1" w:name="_GoBack"/>
      <w:bookmarkEnd w:id="1"/>
      <w:r>
        <w:rPr>
          <w:rFonts w:hint="eastAsia" w:ascii="宋体" w:hAnsi="宋体"/>
          <w:color w:val="auto"/>
          <w:sz w:val="24"/>
          <w:highlight w:val="none"/>
        </w:rPr>
        <w:t>，经双方协商一致，签订本合同，以兹遵守。</w:t>
      </w:r>
    </w:p>
    <w:p w14:paraId="5B075E1F">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第一条  审查咨询依据</w:t>
      </w:r>
    </w:p>
    <w:p w14:paraId="715A2704">
      <w:pPr>
        <w:spacing w:line="360" w:lineRule="auto"/>
        <w:rPr>
          <w:rFonts w:hint="eastAsia" w:ascii="宋体" w:hAnsi="宋体"/>
          <w:color w:val="auto"/>
          <w:sz w:val="24"/>
          <w:highlight w:val="none"/>
        </w:rPr>
      </w:pPr>
      <w:r>
        <w:rPr>
          <w:rFonts w:hint="eastAsia" w:ascii="宋体" w:hAnsi="宋体"/>
          <w:color w:val="auto"/>
          <w:sz w:val="24"/>
          <w:highlight w:val="none"/>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14:paraId="06F20801">
      <w:pPr>
        <w:spacing w:line="360" w:lineRule="auto"/>
        <w:ind w:firstLine="560"/>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14:paraId="61E2E6F4">
      <w:pPr>
        <w:spacing w:line="360" w:lineRule="auto"/>
        <w:ind w:firstLine="560"/>
        <w:rPr>
          <w:rFonts w:hint="eastAsia" w:ascii="宋体" w:hAnsi="宋体"/>
          <w:color w:val="auto"/>
          <w:sz w:val="24"/>
          <w:highlight w:val="none"/>
        </w:rPr>
      </w:pPr>
      <w:r>
        <w:rPr>
          <w:rFonts w:hint="eastAsia" w:ascii="宋体" w:hAnsi="宋体"/>
          <w:color w:val="auto"/>
          <w:sz w:val="24"/>
          <w:highlight w:val="none"/>
        </w:rPr>
        <w:t>1.3  建筑工程批准文件。</w:t>
      </w:r>
    </w:p>
    <w:p w14:paraId="3513B89E">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14:paraId="557D0E1C">
      <w:pPr>
        <w:spacing w:line="360" w:lineRule="auto"/>
        <w:ind w:firstLine="560"/>
        <w:rPr>
          <w:rFonts w:hint="eastAsia" w:ascii="宋体" w:hAnsi="宋体"/>
          <w:color w:val="auto"/>
          <w:sz w:val="24"/>
          <w:highlight w:val="none"/>
        </w:rPr>
      </w:pPr>
      <w:r>
        <w:rPr>
          <w:rFonts w:hint="eastAsia" w:ascii="宋体" w:hAnsi="宋体"/>
          <w:color w:val="auto"/>
          <w:sz w:val="24"/>
          <w:highlight w:val="none"/>
        </w:rPr>
        <w:t>2.1  工程规模：</w:t>
      </w:r>
      <w:r>
        <w:rPr>
          <w:rFonts w:hint="eastAsia" w:ascii="宋体" w:hAnsi="宋体" w:cs="Times New Roman"/>
          <w:color w:val="auto"/>
          <w:sz w:val="24"/>
          <w:highlight w:val="none"/>
          <w:lang w:val="en-US" w:eastAsia="zh-CN"/>
        </w:rPr>
        <w:t>游学路东段：新建道路长约220米，宽约27米。滨湖路：新建道路长约313米，宽约20米。主要建设内容包含游学路东段以及游滨湖路的道路工程、交通工程、排水工程、照明工程等园区配套道路及管网基础设施。</w:t>
      </w:r>
    </w:p>
    <w:p w14:paraId="14F2F31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2.2  项目地点：德阳高新区</w:t>
      </w:r>
    </w:p>
    <w:p w14:paraId="5DD5DF19">
      <w:pPr>
        <w:spacing w:line="360" w:lineRule="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14:paraId="7FF5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14:paraId="35BD7315">
            <w:pPr>
              <w:spacing w:line="360" w:lineRule="auto"/>
              <w:jc w:val="center"/>
              <w:rPr>
                <w:rFonts w:hint="eastAsia" w:ascii="宋体" w:hAnsi="宋体"/>
                <w:color w:val="auto"/>
                <w:sz w:val="24"/>
                <w:highlight w:val="none"/>
              </w:rPr>
            </w:pPr>
            <w:r>
              <w:rPr>
                <w:rFonts w:hint="eastAsia" w:ascii="宋体" w:hAnsi="宋体"/>
                <w:color w:val="auto"/>
                <w:sz w:val="24"/>
                <w:highlight w:val="none"/>
              </w:rPr>
              <w:t>审查</w:t>
            </w:r>
          </w:p>
          <w:p w14:paraId="02589C16">
            <w:pPr>
              <w:spacing w:line="360" w:lineRule="auto"/>
              <w:jc w:val="center"/>
              <w:rPr>
                <w:rFonts w:hint="eastAsia" w:ascii="宋体" w:hAnsi="宋体"/>
                <w:color w:val="auto"/>
                <w:sz w:val="24"/>
                <w:highlight w:val="none"/>
              </w:rPr>
            </w:pPr>
            <w:r>
              <w:rPr>
                <w:rFonts w:hint="eastAsia" w:ascii="宋体" w:hAnsi="宋体"/>
                <w:color w:val="auto"/>
                <w:sz w:val="24"/>
                <w:highlight w:val="none"/>
              </w:rPr>
              <w:t>涉及</w:t>
            </w:r>
          </w:p>
          <w:p w14:paraId="0D843778">
            <w:pPr>
              <w:spacing w:line="360" w:lineRule="auto"/>
              <w:jc w:val="center"/>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14:paraId="5375AA68">
            <w:pPr>
              <w:spacing w:line="400" w:lineRule="exact"/>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14:paraId="18BAE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14:paraId="5CB96DD1">
            <w:pPr>
              <w:spacing w:line="360" w:lineRule="auto"/>
              <w:jc w:val="center"/>
              <w:rPr>
                <w:rFonts w:hint="eastAsia" w:ascii="宋体" w:hAnsi="宋体"/>
                <w:color w:val="auto"/>
                <w:sz w:val="24"/>
                <w:highlight w:val="none"/>
              </w:rPr>
            </w:pPr>
          </w:p>
        </w:tc>
        <w:tc>
          <w:tcPr>
            <w:tcW w:w="7718" w:type="dxa"/>
            <w:noWrap w:val="0"/>
            <w:vAlign w:val="center"/>
          </w:tcPr>
          <w:p w14:paraId="0F5FB560">
            <w:pPr>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w:t>
            </w:r>
            <w:r>
              <w:rPr>
                <w:rFonts w:hint="eastAsia" w:ascii="宋体" w:hAnsi="宋体"/>
                <w:color w:val="auto"/>
                <w:sz w:val="24"/>
                <w:szCs w:val="24"/>
                <w:highlight w:val="none"/>
                <w:lang w:eastAsia="zh-CN"/>
              </w:rPr>
              <w:t>绿化</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14:paraId="67C55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14:paraId="6873F94D">
            <w:pPr>
              <w:spacing w:line="360" w:lineRule="auto"/>
              <w:jc w:val="center"/>
              <w:rPr>
                <w:rFonts w:hint="eastAsia" w:ascii="宋体" w:hAnsi="宋体"/>
                <w:color w:val="auto"/>
                <w:sz w:val="24"/>
                <w:highlight w:val="none"/>
              </w:rPr>
            </w:pPr>
          </w:p>
        </w:tc>
        <w:tc>
          <w:tcPr>
            <w:tcW w:w="7718" w:type="dxa"/>
            <w:noWrap w:val="0"/>
            <w:vAlign w:val="center"/>
          </w:tcPr>
          <w:p w14:paraId="16B96936">
            <w:pPr>
              <w:spacing w:line="400" w:lineRule="exact"/>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14:paraId="1DF358D8">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14:paraId="33294EB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2.4  审查内容</w:t>
      </w:r>
    </w:p>
    <w:p w14:paraId="168F4CAA">
      <w:pPr>
        <w:spacing w:line="360" w:lineRule="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14:paraId="3FA541E6">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14:paraId="2D231280">
      <w:pPr>
        <w:spacing w:line="360" w:lineRule="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14:paraId="302136D0">
      <w:pPr>
        <w:spacing w:line="360" w:lineRule="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14:paraId="1D53DE1B">
      <w:pPr>
        <w:spacing w:line="360" w:lineRule="auto"/>
        <w:ind w:firstLine="480" w:firstLineChars="200"/>
        <w:rPr>
          <w:rFonts w:hint="eastAsia"/>
          <w:color w:val="auto"/>
          <w:sz w:val="24"/>
          <w:highlight w:val="none"/>
        </w:rPr>
      </w:pPr>
      <w:r>
        <w:rPr>
          <w:rFonts w:hint="eastAsia" w:ascii="宋体" w:hAnsi="宋体"/>
          <w:color w:val="auto"/>
          <w:sz w:val="24"/>
          <w:highlight w:val="none"/>
        </w:rPr>
        <w:t>2.4.5</w:t>
      </w:r>
      <w:r>
        <w:rPr>
          <w:rFonts w:hint="eastAsia" w:ascii="宋体" w:hAnsi="宋体" w:cs="Times New Roman"/>
          <w:color w:val="auto"/>
          <w:sz w:val="24"/>
          <w:highlight w:val="none"/>
        </w:rPr>
        <w:t xml:space="preserve"> 是否符合作为设计依据的批准文件及其他法律、法规、规章规定的要求；</w:t>
      </w:r>
    </w:p>
    <w:p w14:paraId="65B14357">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14:paraId="7BA97615">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14:paraId="79BE8DF0">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14:paraId="1E8CCD77">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14:paraId="0D56FEDD">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14:paraId="73CB4B7A">
      <w:pPr>
        <w:spacing w:line="360" w:lineRule="auto"/>
        <w:ind w:firstLine="480" w:firstLineChars="200"/>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14:paraId="1FC2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0E939797">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14:paraId="286177F9">
            <w:pPr>
              <w:spacing w:line="360" w:lineRule="auto"/>
              <w:jc w:val="center"/>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14:paraId="4E364865">
            <w:pPr>
              <w:spacing w:line="360" w:lineRule="auto"/>
              <w:jc w:val="center"/>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14:paraId="3DD0A631">
            <w:pPr>
              <w:spacing w:line="360" w:lineRule="auto"/>
              <w:jc w:val="center"/>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14:paraId="21637F50">
            <w:pPr>
              <w:spacing w:line="360" w:lineRule="auto"/>
              <w:jc w:val="center"/>
              <w:rPr>
                <w:rFonts w:ascii="宋体" w:hAnsi="宋体"/>
                <w:color w:val="auto"/>
                <w:szCs w:val="21"/>
                <w:highlight w:val="none"/>
              </w:rPr>
            </w:pPr>
            <w:r>
              <w:rPr>
                <w:rFonts w:hint="eastAsia" w:ascii="宋体" w:hAnsi="宋体"/>
                <w:color w:val="auto"/>
                <w:szCs w:val="21"/>
                <w:highlight w:val="none"/>
              </w:rPr>
              <w:t>备 注</w:t>
            </w:r>
          </w:p>
        </w:tc>
      </w:tr>
      <w:tr w14:paraId="0F6FD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2F4297F">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14:paraId="76213AA5">
            <w:pPr>
              <w:spacing w:line="360" w:lineRule="auto"/>
              <w:jc w:val="center"/>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14:paraId="32AE5A54">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075F78C">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合同签订后5日内</w:t>
            </w:r>
          </w:p>
        </w:tc>
        <w:tc>
          <w:tcPr>
            <w:tcW w:w="1418" w:type="dxa"/>
            <w:noWrap w:val="0"/>
            <w:vAlign w:val="top"/>
          </w:tcPr>
          <w:p w14:paraId="0B0899BD">
            <w:pPr>
              <w:spacing w:line="360" w:lineRule="auto"/>
              <w:jc w:val="center"/>
              <w:rPr>
                <w:rFonts w:ascii="宋体"/>
                <w:color w:val="auto"/>
                <w:szCs w:val="21"/>
                <w:highlight w:val="none"/>
              </w:rPr>
            </w:pPr>
            <w:r>
              <w:rPr>
                <w:rFonts w:hint="eastAsia" w:ascii="宋体"/>
                <w:color w:val="auto"/>
                <w:szCs w:val="21"/>
                <w:highlight w:val="none"/>
              </w:rPr>
              <w:t>网上委托</w:t>
            </w:r>
          </w:p>
        </w:tc>
      </w:tr>
      <w:tr w14:paraId="0F948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879CD59">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14:paraId="1D9A6B5C">
            <w:pPr>
              <w:spacing w:line="360" w:lineRule="auto"/>
              <w:jc w:val="center"/>
              <w:rPr>
                <w:rFonts w:ascii="宋体" w:hAnsi="宋体"/>
                <w:color w:val="auto"/>
                <w:szCs w:val="21"/>
                <w:highlight w:val="none"/>
              </w:rPr>
            </w:pPr>
            <w:r>
              <w:rPr>
                <w:rFonts w:hint="eastAsia" w:ascii="宋体" w:hAnsi="宋体"/>
                <w:color w:val="auto"/>
                <w:szCs w:val="21"/>
                <w:highlight w:val="none"/>
              </w:rPr>
              <w:t>地质勘察报告书</w:t>
            </w:r>
          </w:p>
        </w:tc>
        <w:tc>
          <w:tcPr>
            <w:tcW w:w="686" w:type="dxa"/>
            <w:noWrap w:val="0"/>
            <w:vAlign w:val="top"/>
          </w:tcPr>
          <w:p w14:paraId="424981B0">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B9EB3F0">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74A717">
            <w:pPr>
              <w:spacing w:line="360" w:lineRule="auto"/>
              <w:jc w:val="center"/>
              <w:rPr>
                <w:rFonts w:hint="eastAsia" w:ascii="宋体" w:eastAsia="宋体"/>
                <w:color w:val="auto"/>
                <w:szCs w:val="21"/>
                <w:highlight w:val="none"/>
                <w:lang w:eastAsia="zh-CN"/>
              </w:rPr>
            </w:pPr>
            <w:r>
              <w:rPr>
                <w:rFonts w:hint="eastAsia" w:ascii="宋体"/>
                <w:color w:val="auto"/>
                <w:szCs w:val="21"/>
                <w:highlight w:val="none"/>
                <w:lang w:val="en-US" w:eastAsia="zh-CN"/>
              </w:rPr>
              <w:t>电子版</w:t>
            </w:r>
          </w:p>
        </w:tc>
      </w:tr>
      <w:tr w14:paraId="369E6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5D05138">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14:paraId="3F139A2D">
            <w:pPr>
              <w:spacing w:line="360" w:lineRule="auto"/>
              <w:jc w:val="center"/>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14:paraId="6938ED51">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2430CCCA">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0E64A5">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14:paraId="7AA78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E687B55">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14:paraId="7183F325">
            <w:pPr>
              <w:spacing w:line="360" w:lineRule="auto"/>
              <w:jc w:val="center"/>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14:paraId="17B8E16B">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8332C4D">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2C4E9952">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14:paraId="7E830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18C0A563">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091" w:type="dxa"/>
            <w:noWrap w:val="0"/>
            <w:vAlign w:val="top"/>
          </w:tcPr>
          <w:p w14:paraId="71E57D9D">
            <w:pPr>
              <w:spacing w:line="360" w:lineRule="auto"/>
              <w:jc w:val="center"/>
              <w:rPr>
                <w:rFonts w:ascii="宋体" w:hAnsi="宋体"/>
                <w:color w:val="auto"/>
                <w:szCs w:val="21"/>
                <w:highlight w:val="none"/>
              </w:rPr>
            </w:pPr>
            <w:r>
              <w:rPr>
                <w:rFonts w:hint="eastAsia" w:ascii="宋体" w:hAnsi="宋体"/>
                <w:color w:val="auto"/>
                <w:szCs w:val="21"/>
                <w:highlight w:val="none"/>
              </w:rPr>
              <w:t>立项批文、规划许可证</w:t>
            </w:r>
          </w:p>
        </w:tc>
        <w:tc>
          <w:tcPr>
            <w:tcW w:w="686" w:type="dxa"/>
            <w:noWrap w:val="0"/>
            <w:vAlign w:val="top"/>
          </w:tcPr>
          <w:p w14:paraId="4D55C334">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25B34DDF">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63355FDF">
            <w:pPr>
              <w:spacing w:line="360" w:lineRule="auto"/>
              <w:jc w:val="center"/>
              <w:rPr>
                <w:rFonts w:ascii="宋体"/>
                <w:color w:val="auto"/>
                <w:szCs w:val="21"/>
                <w:highlight w:val="none"/>
              </w:rPr>
            </w:pPr>
            <w:r>
              <w:rPr>
                <w:rFonts w:hint="eastAsia" w:ascii="宋体"/>
                <w:color w:val="auto"/>
                <w:szCs w:val="21"/>
                <w:highlight w:val="none"/>
              </w:rPr>
              <w:t>复印件</w:t>
            </w:r>
          </w:p>
        </w:tc>
      </w:tr>
    </w:tbl>
    <w:p w14:paraId="67134F26">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第四条  乙方应向甲方交付的文件及时间期限</w:t>
      </w:r>
    </w:p>
    <w:tbl>
      <w:tblPr>
        <w:tblStyle w:val="9"/>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14:paraId="256EA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14:paraId="2E3D8ADC">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14:paraId="00018672">
            <w:pPr>
              <w:spacing w:line="360" w:lineRule="auto"/>
              <w:jc w:val="center"/>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14:paraId="45A97B41">
            <w:pPr>
              <w:spacing w:line="360" w:lineRule="auto"/>
              <w:jc w:val="center"/>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14:paraId="17EAB17B">
            <w:pPr>
              <w:spacing w:line="360" w:lineRule="auto"/>
              <w:jc w:val="center"/>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14:paraId="3230DBFD">
            <w:pPr>
              <w:spacing w:line="360" w:lineRule="auto"/>
              <w:jc w:val="center"/>
              <w:rPr>
                <w:rFonts w:hint="eastAsia" w:ascii="宋体" w:hAnsi="宋体"/>
                <w:color w:val="auto"/>
                <w:szCs w:val="21"/>
                <w:highlight w:val="none"/>
              </w:rPr>
            </w:pPr>
            <w:r>
              <w:rPr>
                <w:rFonts w:hint="eastAsia" w:ascii="宋体" w:hAnsi="宋体"/>
                <w:color w:val="auto"/>
                <w:szCs w:val="21"/>
                <w:highlight w:val="none"/>
              </w:rPr>
              <w:t>备注</w:t>
            </w:r>
          </w:p>
        </w:tc>
      </w:tr>
      <w:tr w14:paraId="51ED9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7830A8DB">
            <w:pPr>
              <w:spacing w:line="360" w:lineRule="auto"/>
              <w:jc w:val="center"/>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14:paraId="48C7DBD3">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14:paraId="2A068223">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14:paraId="1FF1082B">
            <w:pPr>
              <w:spacing w:line="360" w:lineRule="auto"/>
              <w:ind w:leftChars="-1" w:hanging="2" w:hangingChars="1"/>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rPr>
              <w:t>1</w:t>
            </w:r>
            <w:r>
              <w:rPr>
                <w:rFonts w:hint="eastAsia" w:ascii="宋体" w:hAnsi="宋体"/>
                <w:color w:val="auto"/>
                <w:szCs w:val="21"/>
                <w:highlight w:val="none"/>
                <w:u w:val="single"/>
                <w:lang w:val="en-US" w:eastAsia="zh-CN"/>
              </w:rPr>
              <w:t>0</w:t>
            </w:r>
            <w:r>
              <w:rPr>
                <w:rFonts w:hint="eastAsia" w:ascii="宋体" w:hAnsi="宋体"/>
                <w:color w:val="auto"/>
                <w:szCs w:val="21"/>
                <w:highlight w:val="none"/>
                <w:u w:val="single"/>
              </w:rPr>
              <w:t>个</w:t>
            </w:r>
            <w:r>
              <w:rPr>
                <w:rFonts w:hint="eastAsia" w:ascii="宋体" w:hAnsi="宋体"/>
                <w:color w:val="auto"/>
                <w:szCs w:val="21"/>
                <w:highlight w:val="none"/>
                <w:lang w:val="en-US" w:eastAsia="zh-CN"/>
              </w:rPr>
              <w:t>日历天</w:t>
            </w:r>
            <w:r>
              <w:rPr>
                <w:rFonts w:hint="eastAsia" w:ascii="宋体" w:hAnsi="宋体"/>
                <w:color w:val="auto"/>
                <w:szCs w:val="21"/>
                <w:highlight w:val="none"/>
              </w:rPr>
              <w:t>出具审查意见，收到回复确认后</w:t>
            </w:r>
            <w:r>
              <w:rPr>
                <w:rFonts w:hint="eastAsia" w:ascii="宋体" w:hAnsi="宋体"/>
                <w:color w:val="auto"/>
                <w:szCs w:val="21"/>
                <w:highlight w:val="none"/>
                <w:u w:val="single"/>
              </w:rPr>
              <w:t>5</w:t>
            </w:r>
            <w:r>
              <w:rPr>
                <w:rFonts w:hint="eastAsia" w:ascii="宋体" w:hAnsi="宋体"/>
                <w:color w:val="auto"/>
                <w:szCs w:val="21"/>
                <w:highlight w:val="none"/>
              </w:rPr>
              <w:t>个</w:t>
            </w:r>
            <w:r>
              <w:rPr>
                <w:rFonts w:hint="eastAsia" w:ascii="宋体" w:hAnsi="宋体"/>
                <w:color w:val="auto"/>
                <w:szCs w:val="21"/>
                <w:highlight w:val="none"/>
                <w:lang w:val="en-US" w:eastAsia="zh-CN"/>
              </w:rPr>
              <w:t>日历天</w:t>
            </w:r>
            <w:r>
              <w:rPr>
                <w:rFonts w:hint="eastAsia" w:ascii="宋体" w:hAnsi="宋体"/>
                <w:color w:val="auto"/>
                <w:szCs w:val="21"/>
                <w:highlight w:val="none"/>
              </w:rPr>
              <w:t>出具报告</w:t>
            </w:r>
          </w:p>
        </w:tc>
        <w:tc>
          <w:tcPr>
            <w:tcW w:w="1214" w:type="dxa"/>
            <w:vMerge w:val="restart"/>
            <w:noWrap w:val="0"/>
            <w:vAlign w:val="center"/>
          </w:tcPr>
          <w:p w14:paraId="283459AC">
            <w:pPr>
              <w:spacing w:line="360" w:lineRule="auto"/>
              <w:jc w:val="center"/>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14:paraId="1DD4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60EF7CB1">
            <w:pPr>
              <w:spacing w:line="360" w:lineRule="auto"/>
              <w:jc w:val="center"/>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14:paraId="663456C2">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14:paraId="0D6A706D">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4BE76BB1">
            <w:pPr>
              <w:spacing w:line="360" w:lineRule="auto"/>
              <w:ind w:left="630" w:hanging="630" w:hangingChars="300"/>
              <w:rPr>
                <w:rFonts w:hint="eastAsia" w:ascii="宋体" w:hAnsi="宋体"/>
                <w:color w:val="auto"/>
                <w:szCs w:val="21"/>
                <w:highlight w:val="none"/>
              </w:rPr>
            </w:pPr>
          </w:p>
        </w:tc>
        <w:tc>
          <w:tcPr>
            <w:tcW w:w="1214" w:type="dxa"/>
            <w:vMerge w:val="continue"/>
            <w:noWrap w:val="0"/>
            <w:vAlign w:val="center"/>
          </w:tcPr>
          <w:p w14:paraId="112D3AB9">
            <w:pPr>
              <w:spacing w:line="360" w:lineRule="auto"/>
              <w:jc w:val="center"/>
              <w:rPr>
                <w:rFonts w:hint="eastAsia" w:ascii="宋体" w:hAnsi="宋体"/>
                <w:color w:val="auto"/>
                <w:szCs w:val="21"/>
                <w:highlight w:val="none"/>
              </w:rPr>
            </w:pPr>
          </w:p>
        </w:tc>
      </w:tr>
      <w:tr w14:paraId="45B87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2D0FC92F">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14:paraId="4F04C252">
            <w:pPr>
              <w:spacing w:line="360" w:lineRule="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14:paraId="079DEDA7">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08C2FB00">
            <w:pPr>
              <w:spacing w:line="360" w:lineRule="auto"/>
              <w:jc w:val="center"/>
              <w:rPr>
                <w:rFonts w:hint="eastAsia" w:ascii="宋体" w:hAnsi="宋体"/>
                <w:color w:val="auto"/>
                <w:szCs w:val="21"/>
                <w:highlight w:val="none"/>
              </w:rPr>
            </w:pPr>
          </w:p>
        </w:tc>
        <w:tc>
          <w:tcPr>
            <w:tcW w:w="1214" w:type="dxa"/>
            <w:vMerge w:val="continue"/>
            <w:noWrap w:val="0"/>
            <w:vAlign w:val="center"/>
          </w:tcPr>
          <w:p w14:paraId="3845084D">
            <w:pPr>
              <w:spacing w:line="360" w:lineRule="auto"/>
              <w:jc w:val="center"/>
              <w:rPr>
                <w:rFonts w:hint="eastAsia" w:ascii="宋体" w:hAnsi="宋体"/>
                <w:color w:val="auto"/>
                <w:szCs w:val="21"/>
                <w:highlight w:val="none"/>
              </w:rPr>
            </w:pPr>
          </w:p>
        </w:tc>
      </w:tr>
      <w:tr w14:paraId="4B24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0ACD9465">
            <w:pPr>
              <w:spacing w:line="360" w:lineRule="auto"/>
              <w:jc w:val="center"/>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14:paraId="590B08F8">
            <w:pPr>
              <w:spacing w:line="360" w:lineRule="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14:paraId="3B25CCF3">
            <w:pPr>
              <w:spacing w:line="360" w:lineRule="auto"/>
              <w:jc w:val="center"/>
              <w:rPr>
                <w:rFonts w:hint="eastAsia" w:ascii="宋体" w:hAnsi="宋体"/>
                <w:color w:val="auto"/>
                <w:szCs w:val="21"/>
                <w:highlight w:val="none"/>
              </w:rPr>
            </w:pPr>
          </w:p>
        </w:tc>
        <w:tc>
          <w:tcPr>
            <w:tcW w:w="2769" w:type="dxa"/>
            <w:vMerge w:val="continue"/>
            <w:noWrap w:val="0"/>
            <w:vAlign w:val="center"/>
          </w:tcPr>
          <w:p w14:paraId="538755D8">
            <w:pPr>
              <w:spacing w:line="360" w:lineRule="auto"/>
              <w:jc w:val="center"/>
              <w:rPr>
                <w:rFonts w:hint="eastAsia" w:ascii="宋体" w:hAnsi="宋体"/>
                <w:color w:val="auto"/>
                <w:szCs w:val="21"/>
                <w:highlight w:val="none"/>
              </w:rPr>
            </w:pPr>
          </w:p>
        </w:tc>
        <w:tc>
          <w:tcPr>
            <w:tcW w:w="1214" w:type="dxa"/>
            <w:vMerge w:val="continue"/>
            <w:noWrap w:val="0"/>
            <w:vAlign w:val="center"/>
          </w:tcPr>
          <w:p w14:paraId="7BA26271">
            <w:pPr>
              <w:spacing w:line="360" w:lineRule="auto"/>
              <w:jc w:val="center"/>
              <w:rPr>
                <w:rFonts w:hint="eastAsia" w:ascii="宋体" w:hAnsi="宋体"/>
                <w:color w:val="auto"/>
                <w:szCs w:val="21"/>
                <w:highlight w:val="none"/>
              </w:rPr>
            </w:pPr>
          </w:p>
        </w:tc>
      </w:tr>
    </w:tbl>
    <w:p w14:paraId="50084BA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第五条  审查咨询费用及付款方式</w:t>
      </w:r>
    </w:p>
    <w:p w14:paraId="3956BDE9">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5.1、审查咨询费用</w:t>
      </w:r>
    </w:p>
    <w:p w14:paraId="0E8FDF8B">
      <w:pPr>
        <w:pStyle w:val="3"/>
        <w:spacing w:line="360" w:lineRule="auto"/>
        <w:ind w:firstLine="480" w:firstLineChars="200"/>
        <w:rPr>
          <w:rFonts w:hint="eastAsia"/>
          <w:color w:val="auto"/>
          <w:sz w:val="24"/>
          <w:szCs w:val="24"/>
          <w:highlight w:val="none"/>
          <w:lang w:eastAsia="zh-CN"/>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，其中不含税咨询费为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w:t>
      </w:r>
    </w:p>
    <w:p w14:paraId="6B8B9A39">
      <w:pPr>
        <w:pStyle w:val="3"/>
        <w:spacing w:line="360" w:lineRule="auto"/>
        <w:ind w:firstLine="480" w:firstLineChars="200"/>
        <w:rPr>
          <w:rFonts w:hint="default"/>
          <w:color w:val="auto"/>
          <w:sz w:val="24"/>
          <w:szCs w:val="24"/>
          <w:highlight w:val="none"/>
          <w:lang w:val="en-US" w:eastAsia="zh-CN"/>
        </w:rPr>
      </w:pPr>
      <w:r>
        <w:rPr>
          <w:rFonts w:hint="eastAsia"/>
          <w:color w:val="auto"/>
          <w:sz w:val="24"/>
          <w:szCs w:val="24"/>
          <w:highlight w:val="none"/>
          <w:lang w:val="en-US" w:eastAsia="zh-CN"/>
        </w:rPr>
        <w:t>游学路东段</w:t>
      </w:r>
      <w:r>
        <w:rPr>
          <w:rFonts w:hint="eastAsia"/>
          <w:color w:val="auto"/>
          <w:sz w:val="24"/>
          <w:szCs w:val="24"/>
          <w:highlight w:val="none"/>
        </w:rPr>
        <w:t>审查咨询费为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，其中不含税咨询费为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元；滨湖路</w:t>
      </w:r>
      <w:r>
        <w:rPr>
          <w:rFonts w:hint="eastAsia"/>
          <w:color w:val="auto"/>
          <w:sz w:val="24"/>
          <w:szCs w:val="24"/>
          <w:highlight w:val="none"/>
        </w:rPr>
        <w:t>审查咨询费为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，其中不含税咨询费为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元（税率*%，增值税税率根据国家现行政策执行,只调整税金额度,不调整不含税价款）</w:t>
      </w:r>
    </w:p>
    <w:p w14:paraId="4F3DC0E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5.2、付款方式 </w:t>
      </w:r>
    </w:p>
    <w:p w14:paraId="0C78B4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乙方按项目分别提交全部图纸的审查报告及合格书，并配合完成主管部门施工图备案后，提交付款申请后15个工作日内，一次性付清对应项目的全部费用。</w:t>
      </w:r>
    </w:p>
    <w:p w14:paraId="656EA5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s="Times New Roman"/>
          <w:color w:val="auto"/>
          <w:sz w:val="24"/>
          <w:highlight w:val="none"/>
          <w:lang w:val="en-US" w:eastAsia="zh-CN"/>
        </w:rPr>
        <w:t>付款前，乙方应提供等额的真实合法有效增值税专用发票及付款申请等资料。否则甲方有权拒绝付款且不承担迟延履行的法律责任。</w:t>
      </w:r>
      <w:r>
        <w:rPr>
          <w:rFonts w:hint="eastAsia" w:ascii="宋体" w:hAnsi="宋体"/>
          <w:color w:val="auto"/>
          <w:sz w:val="24"/>
          <w:highlight w:val="none"/>
        </w:rPr>
        <w:t xml:space="preserve">    </w:t>
      </w:r>
    </w:p>
    <w:p w14:paraId="1137A32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第六条  双方责任</w:t>
      </w:r>
    </w:p>
    <w:p w14:paraId="270BEF91">
      <w:pPr>
        <w:spacing w:line="360" w:lineRule="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14:paraId="627CE1B3">
      <w:pPr>
        <w:spacing w:line="360" w:lineRule="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甲方应按本合同第三条规定的内容，在规定的时间内提供所需的资料文件，并对其完整性、真实性及时效性负责，并与报送行政审查咨询的内容相符。</w:t>
      </w:r>
    </w:p>
    <w:p w14:paraId="75F5666E">
      <w:pPr>
        <w:spacing w:line="360" w:lineRule="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6.1.2甲方应按照四川省勘察设计管理信息平台管理要求，完成相关项目的系统登记及委托程序。</w:t>
      </w:r>
    </w:p>
    <w:p w14:paraId="66445693">
      <w:pPr>
        <w:spacing w:line="360" w:lineRule="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14:paraId="533DC5BE">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14:paraId="4739468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14:paraId="20D0D27A">
      <w:pPr>
        <w:spacing w:line="360" w:lineRule="auto"/>
        <w:rPr>
          <w:rFonts w:hint="eastAsia" w:ascii="宋体" w:hAnsi="宋体"/>
          <w:color w:val="auto"/>
          <w:sz w:val="24"/>
          <w:highlight w:val="none"/>
        </w:rPr>
      </w:pPr>
      <w:r>
        <w:rPr>
          <w:rFonts w:hint="eastAsia" w:ascii="宋体" w:hAnsi="宋体"/>
          <w:color w:val="auto"/>
          <w:sz w:val="24"/>
          <w:highlight w:val="none"/>
        </w:rPr>
        <w:t xml:space="preserve">    6.2 乙方责任</w:t>
      </w:r>
    </w:p>
    <w:p w14:paraId="49697501">
      <w:pPr>
        <w:spacing w:line="360" w:lineRule="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14:paraId="3F7C7DCE">
      <w:pPr>
        <w:spacing w:line="360" w:lineRule="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14:paraId="4C6B7D5E">
      <w:pPr>
        <w:spacing w:line="360" w:lineRule="auto"/>
        <w:ind w:firstLine="560"/>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14:paraId="2A0EAE25">
      <w:pPr>
        <w:spacing w:line="360" w:lineRule="auto"/>
        <w:ind w:firstLine="560"/>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14:paraId="5D890851">
      <w:pPr>
        <w:spacing w:line="360" w:lineRule="auto"/>
        <w:ind w:firstLine="560"/>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14:paraId="0BDFDF87">
      <w:pPr>
        <w:spacing w:line="360" w:lineRule="auto"/>
        <w:ind w:firstLine="560"/>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14:paraId="4FD1F877">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14:paraId="4396291D">
      <w:pPr>
        <w:spacing w:line="360" w:lineRule="auto"/>
        <w:rPr>
          <w:rFonts w:hint="eastAsia" w:asciiTheme="minorEastAsia" w:hAnsiTheme="minorEastAsia" w:eastAsiaTheme="minorEastAsia" w:cstheme="minorEastAsia"/>
          <w:color w:val="auto"/>
          <w:sz w:val="24"/>
          <w:highlight w:val="none"/>
        </w:rPr>
      </w:pPr>
      <w:r>
        <w:rPr>
          <w:rFonts w:hint="eastAsia" w:ascii="黑体" w:hAnsi="宋体" w:eastAsia="黑体"/>
          <w:b/>
          <w:color w:val="auto"/>
          <w:sz w:val="24"/>
          <w:highlight w:val="none"/>
        </w:rPr>
        <w:t xml:space="preserve">   </w:t>
      </w:r>
      <w:r>
        <w:rPr>
          <w:rFonts w:hint="eastAsia" w:asciiTheme="minorEastAsia" w:hAnsiTheme="minorEastAsia" w:eastAsiaTheme="minorEastAsia" w:cstheme="minorEastAsia"/>
          <w:b/>
          <w:color w:val="auto"/>
          <w:sz w:val="24"/>
          <w:highlight w:val="none"/>
        </w:rPr>
        <w:t xml:space="preserve"> </w:t>
      </w:r>
      <w:r>
        <w:rPr>
          <w:rFonts w:hint="eastAsia" w:asciiTheme="minorEastAsia" w:hAnsiTheme="minorEastAsia" w:eastAsiaTheme="minorEastAsia" w:cstheme="minorEastAsia"/>
          <w:color w:val="auto"/>
          <w:sz w:val="24"/>
          <w:highlight w:val="none"/>
        </w:rPr>
        <w:t>7.1在合同履行期间，甲方要求中止或解除合同，已开始审查咨询工作的，甲方应根据乙方已进行的实际工作量，不足一半时，按该阶段审查咨询费的一半支付；超过一半时，按该阶段审查咨询费的全部支付。</w:t>
      </w:r>
    </w:p>
    <w:p w14:paraId="3762FCF3">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2</w:t>
      </w:r>
      <w:r>
        <w:rPr>
          <w:rFonts w:hint="eastAsia" w:asciiTheme="minorEastAsia" w:hAnsiTheme="minorEastAsia" w:eastAsiaTheme="minorEastAsia" w:cstheme="minorEastAsia"/>
          <w:color w:val="auto"/>
          <w:sz w:val="24"/>
          <w:highlight w:val="none"/>
        </w:rPr>
        <w:t>乙方对审查报告文件出现的遗漏或错误负责修改和补充。由于审查人员失误造成工程安全事故损失，乙方除协助勘察设计单位采取补救措施外，还应赔偿由此造成的全部损失。</w:t>
      </w:r>
    </w:p>
    <w:p w14:paraId="75DB7E16">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3</w:t>
      </w:r>
      <w:r>
        <w:rPr>
          <w:rFonts w:hint="eastAsia" w:asciiTheme="minorEastAsia" w:hAnsiTheme="minorEastAsia" w:eastAsiaTheme="minorEastAsia" w:cstheme="minorEastAsia"/>
          <w:color w:val="auto"/>
          <w:sz w:val="24"/>
          <w:highlight w:val="none"/>
        </w:rPr>
        <w:t>由于乙方自身原因，延误了按本合同第四条规定的文件交付时间，应按审查咨询费总额20%向甲方承担违约金；。</w:t>
      </w:r>
    </w:p>
    <w:p w14:paraId="19D5D50B">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4</w:t>
      </w:r>
      <w:r>
        <w:rPr>
          <w:rFonts w:hint="eastAsia" w:asciiTheme="minorEastAsia" w:hAnsiTheme="minorEastAsia" w:eastAsiaTheme="minorEastAsia" w:cstheme="minorEastAsia"/>
          <w:color w:val="auto"/>
          <w:sz w:val="24"/>
          <w:highlight w:val="none"/>
        </w:rPr>
        <w:t>合同生效后，乙方要求终止或解除合同，应当返还已付审查咨询费，并按照审查咨询费总额20%向甲方支付违约金。</w:t>
      </w:r>
    </w:p>
    <w:p w14:paraId="21AF3489">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5</w:t>
      </w:r>
      <w:r>
        <w:rPr>
          <w:rFonts w:hint="eastAsia" w:asciiTheme="minorEastAsia" w:hAnsiTheme="minorEastAsia" w:eastAsiaTheme="minorEastAsia" w:cstheme="minorEastAsia"/>
          <w:color w:val="auto"/>
          <w:sz w:val="24"/>
          <w:highlight w:val="none"/>
        </w:rPr>
        <w:t>乙方违约除承担违约金外，还应承担甲方全部损失，包括但不限于甲方为主张权利产生的诉讼费、保全费、保全保险费、律师费、公证费、差旅费等全部费用。</w:t>
      </w:r>
    </w:p>
    <w:p w14:paraId="0898DEEE">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p>
    <w:p w14:paraId="0250DA7F">
      <w:pPr>
        <w:spacing w:line="360" w:lineRule="auto"/>
        <w:ind w:firstLine="562"/>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14:paraId="2F29528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14:paraId="59822CF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14:paraId="03D0F42D">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14:paraId="4D50871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14:paraId="127EE74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4</w:t>
      </w:r>
      <w:r>
        <w:rPr>
          <w:rFonts w:hint="eastAsia" w:ascii="宋体" w:hAnsi="宋体"/>
          <w:color w:val="auto"/>
          <w:sz w:val="24"/>
          <w:highlight w:val="none"/>
        </w:rPr>
        <w:t xml:space="preserve"> 本合同一式</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份，甲方</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份，乙方</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份。</w:t>
      </w:r>
    </w:p>
    <w:p w14:paraId="4123AD9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5</w:t>
      </w:r>
      <w:r>
        <w:rPr>
          <w:rFonts w:hint="eastAsia" w:ascii="宋体" w:hAnsi="宋体"/>
          <w:color w:val="auto"/>
          <w:sz w:val="24"/>
          <w:highlight w:val="none"/>
        </w:rPr>
        <w:t xml:space="preserve"> 本合同经双方签章后方生效。</w:t>
      </w:r>
    </w:p>
    <w:p w14:paraId="11F4CA12">
      <w:pPr>
        <w:spacing w:line="360" w:lineRule="auto"/>
        <w:rPr>
          <w:rFonts w:hint="eastAsia" w:ascii="宋体" w:hAnsi="宋体"/>
          <w:color w:val="auto"/>
          <w:sz w:val="24"/>
          <w:highlight w:val="none"/>
        </w:rPr>
      </w:pPr>
    </w:p>
    <w:p w14:paraId="08C92F0B">
      <w:pPr>
        <w:spacing w:line="360" w:lineRule="auto"/>
        <w:ind w:left="6000" w:right="-1413" w:rightChars="-673" w:hanging="6000" w:hangingChars="2500"/>
        <w:rPr>
          <w:rFonts w:hint="eastAsia"/>
          <w:color w:val="auto"/>
          <w:sz w:val="24"/>
          <w:highlight w:val="none"/>
        </w:rPr>
      </w:pPr>
      <w:r>
        <w:rPr>
          <w:rFonts w:hint="eastAsia"/>
          <w:color w:val="auto"/>
          <w:sz w:val="24"/>
          <w:highlight w:val="none"/>
        </w:rPr>
        <w:t xml:space="preserve">甲方：                     </w:t>
      </w:r>
      <w:r>
        <w:rPr>
          <w:rFonts w:hint="eastAsia"/>
          <w:color w:val="auto"/>
          <w:sz w:val="24"/>
          <w:highlight w:val="none"/>
          <w:lang w:val="en-US" w:eastAsia="zh-CN"/>
        </w:rPr>
        <w:t xml:space="preserve">         </w:t>
      </w:r>
      <w:r>
        <w:rPr>
          <w:rFonts w:hint="eastAsia"/>
          <w:color w:val="auto"/>
          <w:sz w:val="24"/>
          <w:highlight w:val="none"/>
        </w:rPr>
        <w:t xml:space="preserve">乙方：                    </w:t>
      </w:r>
    </w:p>
    <w:p w14:paraId="5CE5DC7E">
      <w:pPr>
        <w:spacing w:line="360" w:lineRule="auto"/>
        <w:rPr>
          <w:rFonts w:hint="eastAsia"/>
          <w:color w:val="auto"/>
          <w:sz w:val="24"/>
          <w:highlight w:val="none"/>
        </w:rPr>
      </w:pPr>
      <w:r>
        <w:rPr>
          <w:rFonts w:hint="eastAsia"/>
          <w:color w:val="auto"/>
          <w:sz w:val="24"/>
          <w:highlight w:val="none"/>
        </w:rPr>
        <w:t xml:space="preserve">法定代表人:                </w:t>
      </w:r>
      <w:r>
        <w:rPr>
          <w:rFonts w:hint="eastAsia"/>
          <w:color w:val="auto"/>
          <w:sz w:val="24"/>
          <w:highlight w:val="none"/>
          <w:lang w:val="en-US" w:eastAsia="zh-CN"/>
        </w:rPr>
        <w:t xml:space="preserve">         </w:t>
      </w:r>
      <w:r>
        <w:rPr>
          <w:rFonts w:hint="eastAsia"/>
          <w:color w:val="auto"/>
          <w:sz w:val="24"/>
          <w:highlight w:val="none"/>
        </w:rPr>
        <w:t>法定代表人:</w:t>
      </w:r>
    </w:p>
    <w:p w14:paraId="11CC40A2">
      <w:pPr>
        <w:spacing w:line="360" w:lineRule="auto"/>
        <w:rPr>
          <w:rFonts w:hint="eastAsia"/>
          <w:color w:val="auto"/>
          <w:sz w:val="24"/>
          <w:highlight w:val="none"/>
        </w:rPr>
      </w:pPr>
      <w:r>
        <w:rPr>
          <w:rFonts w:hint="eastAsia"/>
          <w:color w:val="auto"/>
          <w:sz w:val="24"/>
          <w:highlight w:val="none"/>
        </w:rPr>
        <w:t xml:space="preserve">或委托代理人:              </w:t>
      </w:r>
      <w:r>
        <w:rPr>
          <w:rFonts w:hint="eastAsia"/>
          <w:color w:val="auto"/>
          <w:sz w:val="24"/>
          <w:highlight w:val="none"/>
          <w:lang w:val="en-US" w:eastAsia="zh-CN"/>
        </w:rPr>
        <w:t xml:space="preserve">         </w:t>
      </w:r>
      <w:r>
        <w:rPr>
          <w:rFonts w:hint="eastAsia"/>
          <w:color w:val="auto"/>
          <w:sz w:val="24"/>
          <w:highlight w:val="none"/>
        </w:rPr>
        <w:t>或委托代理人:</w:t>
      </w:r>
    </w:p>
    <w:p w14:paraId="0BF53E6C">
      <w:pPr>
        <w:spacing w:line="360" w:lineRule="auto"/>
        <w:rPr>
          <w:rFonts w:hint="eastAsia"/>
          <w:color w:val="auto"/>
          <w:sz w:val="24"/>
          <w:highlight w:val="none"/>
        </w:rPr>
      </w:pPr>
      <w:r>
        <w:rPr>
          <w:rFonts w:hint="eastAsia"/>
          <w:color w:val="auto"/>
          <w:sz w:val="24"/>
          <w:highlight w:val="none"/>
        </w:rPr>
        <w:t xml:space="preserve">经办人:                    </w:t>
      </w:r>
      <w:r>
        <w:rPr>
          <w:rFonts w:hint="eastAsia"/>
          <w:color w:val="auto"/>
          <w:sz w:val="24"/>
          <w:highlight w:val="none"/>
          <w:lang w:val="en-US" w:eastAsia="zh-CN"/>
        </w:rPr>
        <w:t xml:space="preserve">         </w:t>
      </w:r>
      <w:r>
        <w:rPr>
          <w:rFonts w:hint="eastAsia"/>
          <w:color w:val="auto"/>
          <w:sz w:val="24"/>
          <w:highlight w:val="none"/>
        </w:rPr>
        <w:t xml:space="preserve">经办人: </w:t>
      </w:r>
    </w:p>
    <w:p w14:paraId="23E65565">
      <w:pPr>
        <w:spacing w:line="360" w:lineRule="auto"/>
        <w:rPr>
          <w:rFonts w:hint="eastAsia"/>
          <w:color w:val="auto"/>
          <w:sz w:val="24"/>
          <w:highlight w:val="none"/>
        </w:rPr>
      </w:pPr>
      <w:r>
        <w:rPr>
          <w:rFonts w:hint="eastAsia"/>
          <w:color w:val="auto"/>
          <w:sz w:val="24"/>
          <w:highlight w:val="none"/>
        </w:rPr>
        <w:t xml:space="preserve">电  话：                  </w:t>
      </w:r>
      <w:r>
        <w:rPr>
          <w:rFonts w:hint="eastAsia"/>
          <w:color w:val="auto"/>
          <w:sz w:val="24"/>
          <w:highlight w:val="none"/>
          <w:lang w:val="en-US" w:eastAsia="zh-CN"/>
        </w:rPr>
        <w:t xml:space="preserve">        </w:t>
      </w:r>
      <w:r>
        <w:rPr>
          <w:rFonts w:hint="eastAsia"/>
          <w:color w:val="auto"/>
          <w:sz w:val="24"/>
          <w:highlight w:val="none"/>
        </w:rPr>
        <w:t xml:space="preserve"> 电  话：</w:t>
      </w:r>
    </w:p>
    <w:p w14:paraId="2469609D">
      <w:pPr>
        <w:spacing w:line="360" w:lineRule="auto"/>
        <w:rPr>
          <w:rFonts w:hint="eastAsia"/>
          <w:color w:val="auto"/>
          <w:sz w:val="24"/>
          <w:highlight w:val="none"/>
        </w:rPr>
      </w:pPr>
      <w:r>
        <w:rPr>
          <w:rFonts w:hint="eastAsia"/>
          <w:color w:val="auto"/>
          <w:sz w:val="24"/>
          <w:highlight w:val="none"/>
        </w:rPr>
        <w:t xml:space="preserve">开户行：                   </w:t>
      </w:r>
      <w:r>
        <w:rPr>
          <w:rFonts w:hint="eastAsia"/>
          <w:color w:val="auto"/>
          <w:sz w:val="24"/>
          <w:highlight w:val="none"/>
          <w:lang w:val="en-US" w:eastAsia="zh-CN"/>
        </w:rPr>
        <w:t xml:space="preserve">        </w:t>
      </w:r>
      <w:r>
        <w:rPr>
          <w:rFonts w:hint="eastAsia"/>
          <w:color w:val="auto"/>
          <w:sz w:val="24"/>
          <w:highlight w:val="none"/>
        </w:rPr>
        <w:t>开户行：</w:t>
      </w:r>
    </w:p>
    <w:p w14:paraId="2833855F">
      <w:pPr>
        <w:spacing w:line="360" w:lineRule="auto"/>
        <w:rPr>
          <w:rFonts w:hint="eastAsia" w:ascii="宋体" w:hAnsi="宋体" w:cs="宋体"/>
          <w:color w:val="auto"/>
          <w:sz w:val="24"/>
          <w:highlight w:val="none"/>
        </w:rPr>
      </w:pPr>
      <w:r>
        <w:rPr>
          <w:rFonts w:hint="eastAsia"/>
          <w:color w:val="auto"/>
          <w:sz w:val="24"/>
          <w:highlight w:val="none"/>
        </w:rPr>
        <w:t xml:space="preserve">帐  号：                   </w:t>
      </w:r>
      <w:r>
        <w:rPr>
          <w:rFonts w:hint="eastAsia"/>
          <w:color w:val="auto"/>
          <w:sz w:val="24"/>
          <w:highlight w:val="none"/>
          <w:lang w:val="en-US" w:eastAsia="zh-CN"/>
        </w:rPr>
        <w:t xml:space="preserve">        </w:t>
      </w:r>
      <w:r>
        <w:rPr>
          <w:rFonts w:hint="eastAsia"/>
          <w:color w:val="auto"/>
          <w:sz w:val="24"/>
          <w:highlight w:val="none"/>
        </w:rPr>
        <w:t>帐  号：</w:t>
      </w:r>
    </w:p>
    <w:p w14:paraId="108C642D">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77BAF">
    <w:pPr>
      <w:pStyle w:val="6"/>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F14D89">
                          <w:pPr>
                            <w:pStyle w:val="6"/>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F14D89">
                    <w:pPr>
                      <w:pStyle w:val="6"/>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0C6664C"/>
    <w:rsid w:val="0146180C"/>
    <w:rsid w:val="028916DF"/>
    <w:rsid w:val="03612D93"/>
    <w:rsid w:val="08202AE5"/>
    <w:rsid w:val="0A3B3C06"/>
    <w:rsid w:val="145E758E"/>
    <w:rsid w:val="19CD414F"/>
    <w:rsid w:val="1A623CC5"/>
    <w:rsid w:val="1CC94709"/>
    <w:rsid w:val="1EAE27A1"/>
    <w:rsid w:val="26ED3D9B"/>
    <w:rsid w:val="2B8B1F4C"/>
    <w:rsid w:val="2D657C06"/>
    <w:rsid w:val="2F565F0D"/>
    <w:rsid w:val="3199108F"/>
    <w:rsid w:val="38727227"/>
    <w:rsid w:val="3B253993"/>
    <w:rsid w:val="3C776471"/>
    <w:rsid w:val="3C79439E"/>
    <w:rsid w:val="3ED45745"/>
    <w:rsid w:val="3FB05F21"/>
    <w:rsid w:val="3FB6784C"/>
    <w:rsid w:val="3FC25C55"/>
    <w:rsid w:val="434370AD"/>
    <w:rsid w:val="43763CA7"/>
    <w:rsid w:val="45886FF9"/>
    <w:rsid w:val="463158E2"/>
    <w:rsid w:val="46424B25"/>
    <w:rsid w:val="48EA3B26"/>
    <w:rsid w:val="49272742"/>
    <w:rsid w:val="49514B55"/>
    <w:rsid w:val="496E6505"/>
    <w:rsid w:val="4CCF4510"/>
    <w:rsid w:val="4F8C5808"/>
    <w:rsid w:val="50C64E79"/>
    <w:rsid w:val="51223CA8"/>
    <w:rsid w:val="52065E75"/>
    <w:rsid w:val="520779EE"/>
    <w:rsid w:val="52A31916"/>
    <w:rsid w:val="52C5188C"/>
    <w:rsid w:val="535F11C3"/>
    <w:rsid w:val="541C54DC"/>
    <w:rsid w:val="564260DE"/>
    <w:rsid w:val="5A44578C"/>
    <w:rsid w:val="5AD3266C"/>
    <w:rsid w:val="60B72158"/>
    <w:rsid w:val="644B16E3"/>
    <w:rsid w:val="653B778C"/>
    <w:rsid w:val="67C27CF0"/>
    <w:rsid w:val="68A62096"/>
    <w:rsid w:val="6A792A87"/>
    <w:rsid w:val="70741DA4"/>
    <w:rsid w:val="72001B41"/>
    <w:rsid w:val="73330B58"/>
    <w:rsid w:val="74192817"/>
    <w:rsid w:val="7947274B"/>
    <w:rsid w:val="798157A6"/>
    <w:rsid w:val="7A4647B1"/>
    <w:rsid w:val="7B552A39"/>
    <w:rsid w:val="7D562F5D"/>
    <w:rsid w:val="7D8933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sz w:val="18"/>
      <w:szCs w:val="20"/>
    </w:rPr>
  </w:style>
  <w:style w:type="paragraph" w:styleId="4">
    <w:name w:val="Body Text"/>
    <w:basedOn w:val="1"/>
    <w:next w:val="1"/>
    <w:qFormat/>
    <w:uiPriority w:val="0"/>
    <w:pPr>
      <w:spacing w:after="120"/>
    </w:pPr>
  </w:style>
  <w:style w:type="paragraph" w:styleId="5">
    <w:name w:val="Body Text Indent"/>
    <w:basedOn w:val="1"/>
    <w:autoRedefine/>
    <w:qFormat/>
    <w:uiPriority w:val="0"/>
    <w:pPr>
      <w:widowControl w:val="0"/>
      <w:ind w:firstLine="656"/>
      <w:jc w:val="both"/>
    </w:pPr>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5"/>
    <w:unhideWhenUsed/>
    <w:qFormat/>
    <w:uiPriority w:val="0"/>
    <w:pPr>
      <w:spacing w:after="160"/>
      <w:ind w:firstLine="3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2921</Words>
  <Characters>3065</Characters>
  <Lines>0</Lines>
  <Paragraphs>0</Paragraphs>
  <TotalTime>1105</TotalTime>
  <ScaleCrop>false</ScaleCrop>
  <LinksUpToDate>false</LinksUpToDate>
  <CharactersWithSpaces>3649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凸^-^凸</cp:lastModifiedBy>
  <cp:lastPrinted>2025-02-13T06:29:00Z</cp:lastPrinted>
  <dcterms:modified xsi:type="dcterms:W3CDTF">2025-02-20T01:30:19Z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2A0B962B32534305B425C4163FDEBB20_13</vt:lpwstr>
  </property>
  <property fmtid="{D5CDD505-2E9C-101B-9397-08002B2CF9AE}" pid="4" name="KSOTemplateDocerSaveRecord">
    <vt:lpwstr>eyJoZGlkIjoiMGI0OGE5MTEyNTFlYzFkMGM2MTFkZDQ5MzE2YmQ1MDkiLCJ1c2VySWQiOiI3NjM4MDgwMjcifQ==</vt:lpwstr>
  </property>
</Properties>
</file>