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德阳高新新城投资控股有限公司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德阳高新新城投资控股有限公司2023年度财务报表审计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包括但不限于审计、编制、评审、会务费、监测费、人工费、材料费、交通费、差旅费、税费、利润、保险等费用等为完成本项目约定服务的所有费用，以及后续服务费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8F6BE7E-09A7-47CE-B49E-F34F559E11F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5449E2B6-6334-419E-9DEE-F4404391DB3C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E819D055-DD6F-42B1-BD37-8CF79396F78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94671A8"/>
    <w:rsid w:val="0A8C475B"/>
    <w:rsid w:val="0EC96B12"/>
    <w:rsid w:val="11672761"/>
    <w:rsid w:val="194D59CD"/>
    <w:rsid w:val="2CCE7685"/>
    <w:rsid w:val="34053852"/>
    <w:rsid w:val="37F17BF7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2024-04-15T07:51:10Z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4252E4429DC8463B812D313AFB65576B_12</vt:lpwstr>
  </property>
</Properties>
</file>